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123</w:t>
      </w:r>
    </w:p>
    <w:p>
      <w:r>
        <w:t>Bundesgericht (BGE), 2020-11-27, DE</w:t>
      </w:r>
    </w:p>
    <w:p>
      <w:r>
        <w:rPr>
          <w:b/>
        </w:rPr>
        <w:t xml:space="preserve">Quelle: </w:t>
      </w:r>
      <w:r>
        <w:t>https://mcp.opencaselaw.ch/entscheid/bge_147 IV 123</w:t>
      </w:r>
    </w:p>
    <w:p>
      <w:r>
        <w:t>FR: ATF 147 IV 123</w:t>
      </w:r>
    </w:p>
    <w:p>
      <w:r>
        <w:t>IT: DTF 147 IV 123</w:t>
      </w:r>
    </w:p>
    <w:p>
      <w:pPr>
        <w:pStyle w:val="Heading2"/>
      </w:pPr>
      <w:r>
        <w:t>Regeste</w:t>
      </w:r>
    </w:p>
    <w:p>
      <w:r>
        <w:t>Regeste Art. 222 und 237 Abs. 4 StPO; Nichtanordnung von Ersatzmassnahmen anstelle von Untersuchungshaft; Beschwerdelegitimation der Staatsanwaltschaft. Die Staatsanwaltschaft ist berechtigt, den Entscheid des Zwangsmassnahmengerichts, mit welchem dieses die Anordnung von ihr beantragter Ersatzmassnahmen ablehnt, bei der kantonalen Beschwerdeinstanz anzufechten (E. 2).</w:t>
      </w:r>
    </w:p>
    <w:p>
      <w:pPr>
        <w:pStyle w:val="Heading2"/>
      </w:pPr>
      <w:r>
        <w:t>Erwägungen</w:t>
      </w:r>
    </w:p>
    <w:p>
      <w:r>
        <w:rPr>
          <w:b/>
        </w:rPr>
        <w:t>E. 2.1</w:t>
      </w:r>
    </w:p>
    <w:p>
      <w:r>
        <w:t>Die Beschwerdeführerin macht geltend, die Verneinung ihrer Beschwerdelegitimation durch die Vorinstanz verletze Bundesrecht.</w:t>
      </w:r>
    </w:p>
    <w:p>
      <w:r>
        <w:rPr>
          <w:b/>
        </w:rPr>
        <w:t>E. 2.2</w:t>
      </w:r>
    </w:p>
    <w:p>
      <w:r>
        <w:t>Gemäss Art. 393 Abs. 1 lit. c StPO ist die Beschwerde zulässig gegen die Entscheide des Zwangsmassnahmengerichts in den in diesem Gesetz vorgesehenen Fällen (ebenso Art. 20 Abs. 1 lit. c StPO ). Nach Art. 222 StPO kann die verhaftete Person Entscheide über die Anordnung, die Verlängerung und die Aufhebung der Untersuchungs- oder Sicherheitshaft bei der Beschwerdeinstanz anfechten (...). Nach der Rechtsprechung ist ebenso die Staatsanwaltschaft zur Beschwerde gegen Entscheide befugt, mit denen die Untersuchungs- oder Sicherheitshaft nicht angeordnet, nicht verlängert oder aufgehoben wird ( BGE 137 IV 22 ). Daran hat das Bundesgericht trotz Kritik mehrmals festgehalten ( BGE 137 IV 87 E. 2 f. S. 89 ff.; BGE 147 IV 123 S. 125 BGE 137 IV 230 E. 1 S. 232; BGE 137 IV 237 E. 1.2 S. 240; BGE 138 IV 92 E. 3.2 S. 96; BGE 138 IV 148 E. 3.1 S. 150; BGE 139 IV 314 E. 2.2 S. 316; Urteil 1B_486/2018 vom 22. November 2018 E. 2.1, in: Pra 2019 Nr. 36 S. 402). Darauf zurückzukommen besteht umso weniger Anlass, als der Bundesrat mit Botschaft vom 28. August 2019 zur Änderung der Strafprozessordnung vorschlägt, die Rechtsprechung in das Gesetz zu überführen. Der bundesrätliche Entwurf sieht in Art. 222 StPO einen neuen Absatz 2 vor. Danach kann die Staatsanwaltschaft Entscheide über die Nichtanordnung, die Nichtverlängerung und die Aufhebung der Untersuchungs- oder Sicherheitshaft bei der Beschwerdeinstanz anfechten (BBl 2019 6744 f. und 6749). Dem Entscheid des Gesetzgebers über den Entwurf des Bundesrats ist hier nicht vorzugreifen.</w:t>
      </w:r>
    </w:p>
    <w:p>
      <w:r>
        <w:rPr>
          <w:b/>
        </w:rPr>
        <w:t>E. 2.3</w:t>
      </w:r>
    </w:p>
    <w:p>
      <w:r>
        <w:t>Die Vorinstanz lehnt die Anwendung der dargelegten Rechtsprechung bei Ersatzmassnahmen ab; dies im Gegensatz zur Rechtsprechung des Kantons St. Gallen (Entscheid der Anklagekammer vom 21. Dezember 2017 [AK.2017.192] E. II.1). Das Schrifttum äussert sich, soweit ersichtlich, kaum dazu (vgl. aber CHRISTIAN COQUOZ, in: Commentaire romand, Code de procédure pénale suisse, 2. Aufl. 2019, N. 15d zu Art. 237 StPO ).</w:t>
      </w:r>
    </w:p>
    <w:p>
      <w:r>
        <w:rPr>
          <w:b/>
        </w:rPr>
        <w:t>E. 2.4</w:t>
      </w:r>
    </w:p>
    <w:p>
      <w:r>
        <w:t>Der Vorinstanz kann nicht gefolgt werden. Gemäss Art. 237 Abs. 4 StPO richten sich Anordnung und Anfechtung von Ersatzmassnahmen sinngemäss nach den Vorschriften über die Untersuchungs- und die Sicherheitshaft. Dazu gehört Art. 222 StPO . Wenn danach aufgrund der Rechtsprechung die Staatsanwaltschaft zur Beschwerde gegen die Nichtanordnung, Nichtverlängerung oder Aufhebung der Untersuchungs- oder Sicherheitshaft berechtigt ist, muss gemäss Art. 237 Abs. 4 StPO bei Ersatzmassnahmen dasselbe gelten. Dafür sprechen auch die Gesichtspunkte, die das Bundesgericht dazu veranlasst haben, die Befugnis der Staatsanwaltschaft zur StPO-Beschwerde bei Nichtanordnung, Nichtverlängerung oder Aufhebung der Untersuchungs- und Sicherheitshaft zu anerkennen. Das Bundesgericht stützt sich insoweit insbesondere auf den Grundsatz der Einheit des Verfahrens gemäss Art. 111 BGG ( BGE 137 IV 22 E. 1.3 S. 23 f.). Danach muss, wer zur Beschwerde an das Bundesgericht berechtigt ist, sich am Verfahren vor allen kantonalen Vorinstanzen als Partei beteiligen können (Abs. 1). Die Staatsanwaltschaft ist bei Nichtanordnung, Nichtverlängerung und Aufhebung von BGE 147 IV 123 S. 126 Ersatzmassnahmen zur Beschwerde an das Bundesgericht berechtigt (Art. 81 Abs. 1 lit. b Ziff. 3 BGG). Damit muss sie auch an die kantonale Beschwerdeinstanz gelangen können. Wollte man der Auffassung der Vorinstanz folgen, führte das zu einer Gabelung des Rechtswegs. Der Beschuldigte könnte in einem Fall wie hier die angeordneten Ersatzmassnahmen bei der kantonalen Beschwerdeinstanz anfechten. Die Staatsanwaltschaft müsste demgegenüber gegen die Nichtanordnung der von ihr beantragten weiteren Ersatzmassnahmen unmittelbar das Bundesgericht anrufen. Damit wären die kantonale Beschwerdeinstanz und das Bundesgericht gleichzeitig mit derselben Angelegenheit befasst, was die Gefahr widersprüchlicher Entscheide mit sich brächte. So könnte die kantonale Beschwerdeinstanz zum Schluss kommen, die angefochtenen Ersatzmassnahmen gingen zu weit, und das Bundesgericht das Gegenteil entscheiden. Zwar bestünde die Möglichkeit der Sistierung des bundesgerichtlichen Verfahrens. Dies komplizierte das Verfahren jedoch unnötig. Es ist nicht sinnvoll, sachlich Zusammenhängendes prozessual zu trennen. Für die Staatsanwaltschaft besteht bei Nichtanordnung, Nichtverlängerung oder Aufhebung von Ersatzmassnahmen überdies die gleiche Interessenlage wie bei Haft. Nach Ansicht der Staatsanwaltschaft bleiben damit die Haftgründe gemäss Art. 221 StPO (Flucht-, Kollusions-, Wiederholungs- und Ausführungsgefahr) bestehen, was die Strafuntersuchung erschweren und die Staatsanwaltschaft an der gleichmässigen Durchsetzung des staatlichen Strafanspruchs, für welche sie gemäss Art. 16 Abs. 1 StPO verantwortlich ist, hindern kann. Dies spricht ebenso für die Bejahung der Beschwerdelegitimation der Staatsanwaltschaft auch bei Ersatzmassnahmen. Ersatzmassnahmen können ausserdem derart einschneidend sein, dass sie sich von Untersuchungs- oder Sicherheitshaft kaum noch unterscheiden. So stellt nach der Rechtsprechung der Hausarrest eine gewisse Form der Haft dar ( BGE 141 IV 190 E. 3.3 S. 192 f.). Damit wäre es sachwidrig, insoweit eine Grenze zu ziehen und der Staatsanwaltschaft die Beschwerdelegitimation nur bei Untersuchungs- oder Sicherheitshaft zuzuerkennen. Die bundesgerichtliche Rechtsprechung zur Beschwerdelegitimation gewährleistet die Gleichbehandlung des Beschuldigten und der Staatsanwaltschaft. Wenn der Beschuldigte gegen die Anordnung von Haft bei der kantonalen Beschwerdeinstanz Beschwerde BGE 147 IV 123 S. 127 führen kann, soll dies auch die Staatsanwaltschaft gegen die Nichtanordnung tun können. Es besteht kein Grund dafür, dies bei Ersatzmassnahmen anders zu handhaben. Im Urteil 1B_218/2012 vom 26. Juni 2012 befand das Bundesgericht, die Staatsanwaltschaft könne gegen einen Haftentscheid des Zwangsmassnahmengerichts auch dann Beschwerde an die kantonale Beschwerdeinstanz führen, wenn es nicht um die Haft selber geht, sondern lediglich darum, ob das Zwangsmassnahmengericht der Staatsanwaltschaft einen Verfahrensfehler vorwerfen und ihr Kosten auferlegen durfte (E. 2.2). Damit wäre es ungereimt, der Staatsanwaltschaft die Berechtigung zur Beschwerde gegen die Nichtanordnung von Ersatzmassnahmen abzusprechen. Denn insoweit geht es - was regelmässig von grösserer Tragweite ist - um die Zwangsmassnahme selber und nicht nur um einen verfahrensrechtlichen Nebenpunkt.</w:t>
      </w:r>
    </w:p>
    <w:p>
      <w:r>
        <w:rPr>
          <w:b/>
        </w:rPr>
        <w:t>E. 2.5</w:t>
      </w:r>
    </w:p>
    <w:p>
      <w:r>
        <w:t>Die Beschwerdelegitimation der Staatsanwaltschaft gegen einen Entscheid des Zwangsmassnahmengerichts, der eine von ihr beantragte Ersatzmassnahme ablehnt, ist deshalb zu bejahen. Die Beschwerde wird daher, soweit darauf eingetreten werden kann, gutgeheissen, der angefochtene Entscheid aufgehoben und die Sache an die Vorinstanz zurückgewiesen. Diese wird, soweit die weiteren Sachurteilsvoraussetzungen erfüllt sind, auf die Beschwerde einzutreten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